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A Voyage to Arcturus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Beyond</w:t>
      </w:r>
      <w:bookmarkEnd w:id="0"/>
      <w:r>
        <w:rPr>
          <w:rFonts w:asciiTheme="minorHAnsi" w:hAnsiTheme="minorHAnsi" w:cstheme="minorHAnsi"/>
          <w:b/>
          <w:color w:val="000000"/>
          <w:sz w:val="22"/>
          <w:szCs w:val="22"/>
        </w:rPr>
        <w:t>: David Lindsay’s Visionary Imagination</w:t>
      </w: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 online symposium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hosted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by the Scottish Storytelling Centre, Edinburgh</w:t>
      </w: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supported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by the Scottish Network for Religion and Literature, University of Edinburgh</w:t>
      </w: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organised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collaboratively by colleagues in Religious Studies/ECA Edinburgh/Edinburgh Napier</w:t>
      </w: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Wednesday December 9, 2020: 1pm to 6pm</w:t>
      </w: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Organisers: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Dr Steven Sutcliffe, Religious Studies, School of Divinity, University of Edinburgh</w:t>
      </w: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Séan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Martin, School of Arts and Creative Industries, Edinburgh Napier University </w:t>
      </w: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Dr Louise Milne, School of Art, University of Edinburgh</w:t>
      </w:r>
    </w:p>
    <w:p w:rsidR="00432967" w:rsidRDefault="00432967" w:rsidP="004329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SCHEDULE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1pm: Introduction: </w:t>
      </w:r>
      <w:proofErr w:type="spellStart"/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Séan</w:t>
      </w:r>
      <w:proofErr w:type="spellEnd"/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 xml:space="preserve"> Martin, Louise Milne, Steven Sutcliffe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br/>
        <w:t>1.10-2.30pm Session 1: </w:t>
      </w:r>
      <w:r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A Voyage to Arcturus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 (1920) One Hundred Years Later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Talk 1: Dr J D McClure – ‘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Arcturus </w:t>
      </w:r>
      <w:r>
        <w:rPr>
          <w:rFonts w:ascii="Calibri" w:eastAsia="Times New Roman" w:hAnsi="Calibri" w:cs="Calibri"/>
          <w:iCs/>
          <w:color w:val="000000"/>
          <w:lang w:eastAsia="en-GB"/>
        </w:rPr>
        <w:t>and After’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Talk 2: Dr Louise Milne – ‘Early Twentieth Century D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ream Cultures as context for 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Arcturus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’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cstheme="minorHAnsi"/>
          <w:color w:val="201F1E"/>
          <w:shd w:val="clear" w:color="auto" w:fill="FFFFFF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Talk 3: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Murray Ewing –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>‘</w:t>
      </w:r>
      <w:r>
        <w:rPr>
          <w:rFonts w:cstheme="minorHAnsi"/>
          <w:color w:val="201F1E"/>
          <w:shd w:val="clear" w:color="auto" w:fill="FFFFFF"/>
        </w:rPr>
        <w:t xml:space="preserve">The Cultural Influence of </w:t>
      </w:r>
      <w:proofErr w:type="gramStart"/>
      <w:r>
        <w:rPr>
          <w:rFonts w:cstheme="minorHAnsi"/>
          <w:i/>
          <w:color w:val="201F1E"/>
          <w:shd w:val="clear" w:color="auto" w:fill="FFFFFF"/>
        </w:rPr>
        <w:t>A</w:t>
      </w:r>
      <w:proofErr w:type="gramEnd"/>
      <w:r>
        <w:rPr>
          <w:rFonts w:cstheme="minorHAnsi"/>
          <w:i/>
          <w:color w:val="201F1E"/>
          <w:shd w:val="clear" w:color="auto" w:fill="FFFFFF"/>
        </w:rPr>
        <w:t xml:space="preserve"> Voyage to Arcturus’</w:t>
      </w:r>
      <w:r>
        <w:rPr>
          <w:rFonts w:cstheme="minorHAnsi"/>
          <w:color w:val="201F1E"/>
          <w:shd w:val="clear" w:color="auto" w:fill="FFFFFF"/>
        </w:rPr>
        <w:t xml:space="preserve"> 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Questions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2.30-2.40: Tea/coffee Break 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en-GB"/>
        </w:rPr>
        <w:t xml:space="preserve">2.40-4.10pm Session 2: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After </w:t>
      </w:r>
      <w:r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en-GB"/>
        </w:rPr>
        <w:t>Arcturus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: From 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en-GB"/>
        </w:rPr>
        <w:t>The</w:t>
      </w:r>
      <w:proofErr w:type="gramEnd"/>
      <w:r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en-GB"/>
        </w:rPr>
        <w:t xml:space="preserve"> Haunted Woman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to </w:t>
      </w:r>
      <w:r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en-GB"/>
        </w:rPr>
        <w:t>The Witch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Talk 4: Dr Steven Sutcliffe – </w:t>
      </w:r>
      <w:r>
        <w:rPr>
          <w:rFonts w:ascii="Calibri" w:eastAsia="Times New Roman" w:hAnsi="Calibri" w:cs="Calibri"/>
          <w:iCs/>
          <w:color w:val="000000"/>
          <w:bdr w:val="none" w:sz="0" w:space="0" w:color="auto" w:frame="1"/>
          <w:lang w:eastAsia="en-GB"/>
        </w:rPr>
        <w:t xml:space="preserve">‘The Struggle to Remember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in </w:t>
      </w:r>
      <w:r>
        <w:rPr>
          <w:rFonts w:ascii="Calibri" w:eastAsia="Times New Roman" w:hAnsi="Calibri" w:cs="Calibri"/>
          <w:i/>
          <w:color w:val="000000"/>
          <w:bdr w:val="none" w:sz="0" w:space="0" w:color="auto" w:frame="1"/>
          <w:lang w:eastAsia="en-GB"/>
        </w:rPr>
        <w:t>The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Haunted Woman 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and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 xml:space="preserve"> The Violet Apple</w:t>
      </w:r>
      <w:r>
        <w:rPr>
          <w:rFonts w:ascii="Calibri" w:eastAsia="Times New Roman" w:hAnsi="Calibri" w:cs="Calibri"/>
          <w:iCs/>
          <w:color w:val="000000"/>
          <w:bdr w:val="none" w:sz="0" w:space="0" w:color="auto" w:frame="1"/>
          <w:lang w:eastAsia="en-GB"/>
        </w:rPr>
        <w:t>’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Talk 5: Dr Andrew Radford – 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‘</w:t>
      </w:r>
      <w:r>
        <w:rPr>
          <w:rFonts w:cstheme="minorHAnsi"/>
          <w:color w:val="201F1E"/>
          <w:shd w:val="clear" w:color="auto" w:fill="FFFFFF"/>
        </w:rPr>
        <w:t>Devil's Tor: Going After Strange Gods’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Talk 6: Dr John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Herdman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- </w:t>
      </w:r>
      <w:r>
        <w:rPr>
          <w:rFonts w:ascii="Calibri" w:hAnsi="Calibri" w:cs="Calibri"/>
          <w:color w:val="201F1E"/>
          <w:shd w:val="clear" w:color="auto" w:fill="FFFFFF"/>
        </w:rPr>
        <w:t>‘</w:t>
      </w:r>
      <w:r>
        <w:rPr>
          <w:rFonts w:ascii="Calibri" w:hAnsi="Calibri" w:cs="Calibri"/>
          <w:i/>
          <w:iCs/>
          <w:color w:val="201F1E"/>
          <w:shd w:val="clear" w:color="auto" w:fill="FFFFFF"/>
        </w:rPr>
        <w:t>The Witch</w:t>
      </w:r>
      <w:r>
        <w:rPr>
          <w:rFonts w:ascii="Calibri" w:hAnsi="Calibri" w:cs="Calibri"/>
          <w:color w:val="201F1E"/>
          <w:shd w:val="clear" w:color="auto" w:fill="FFFFFF"/>
        </w:rPr>
        <w:t>: David Lindsay's Quest of the Absolute.’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Questions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4.10-4.20pm: Tea/coffee break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4.20-5.40 Session 3: Genre and Media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Talk 7: Jan Pick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‘</w:t>
      </w:r>
      <w:r>
        <w:rPr>
          <w:rFonts w:cstheme="minorHAnsi"/>
          <w:color w:val="201F1E"/>
          <w:shd w:val="clear" w:color="auto" w:fill="FFFFFF"/>
        </w:rPr>
        <w:t>John Barclay Pick: Keeper of the Flame’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Talk 8: Doug Anderson – ‘David Lindsay and the Fantasy Genre’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Talk 9: David Power –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‘</w:t>
      </w:r>
      <w:r>
        <w:rPr>
          <w:rFonts w:cstheme="minorHAnsi"/>
          <w:color w:val="201F1E"/>
          <w:shd w:val="clear" w:color="auto" w:fill="FFFFFF"/>
        </w:rPr>
        <w:t>David Lindsay and Music'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Talk 10: 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Séan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 Martin – ‘</w:t>
      </w:r>
      <w:r>
        <w:rPr>
          <w:rFonts w:ascii="Calibri" w:hAnsi="Calibri" w:cs="Calibri"/>
          <w:color w:val="201F1E"/>
          <w:shd w:val="clear" w:color="auto" w:fill="FFFFFF"/>
        </w:rPr>
        <w:t>Representing the Unrepresentable: Reflections on Filming David Lindsay’s Sublime’. 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Questions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5.40-6.00: Talk 11: Prof Christine Ferguson – ‘Response: David Lindsay and 20th Visionary Fiction’ 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6.00 – 6.15: Questions and Wrap Up - </w:t>
      </w:r>
      <w:proofErr w:type="spellStart"/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Séan</w:t>
      </w:r>
      <w:proofErr w:type="spellEnd"/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 xml:space="preserve"> Martin, Louise Milne, Steven Sutcliffe</w:t>
      </w:r>
    </w:p>
    <w:p w:rsidR="00432967" w:rsidRDefault="00432967" w:rsidP="00432967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</w:t>
      </w:r>
    </w:p>
    <w:sectPr w:rsidR="0043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6"/>
    <w:rsid w:val="000B4A86"/>
    <w:rsid w:val="00271E0A"/>
    <w:rsid w:val="00432967"/>
    <w:rsid w:val="0093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D9BBA-FE7D-42A1-8B76-725FF2E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 Steven</dc:creator>
  <cp:keywords/>
  <dc:description/>
  <cp:lastModifiedBy>Daniel Abercrombie</cp:lastModifiedBy>
  <cp:revision>2</cp:revision>
  <dcterms:created xsi:type="dcterms:W3CDTF">2020-11-06T13:41:00Z</dcterms:created>
  <dcterms:modified xsi:type="dcterms:W3CDTF">2020-11-06T13:41:00Z</dcterms:modified>
</cp:coreProperties>
</file>